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方正小标宋_GBK" w:eastAsia="方正小标宋_GBK" w:hAnsi="Calibri" w:cs="宋体" w:hint="eastAsia"/>
          <w:color w:val="505050"/>
          <w:kern w:val="0"/>
          <w:sz w:val="72"/>
          <w:szCs w:val="72"/>
        </w:rPr>
        <w:t>永州市科学技术局</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color w:val="505050"/>
          <w:kern w:val="0"/>
          <w:sz w:val="72"/>
          <w:szCs w:val="72"/>
        </w:rPr>
        <w:t>2018</w:t>
      </w:r>
      <w:r w:rsidRPr="00077A22">
        <w:rPr>
          <w:rFonts w:ascii="方正小标宋_GBK" w:eastAsia="方正小标宋_GBK" w:hAnsi="Calibri" w:cs="宋体" w:hint="eastAsia"/>
          <w:color w:val="505050"/>
          <w:kern w:val="0"/>
          <w:sz w:val="72"/>
          <w:szCs w:val="72"/>
        </w:rPr>
        <w:t>年度部门决算</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92E3E" w:rsidRDefault="00092E3E" w:rsidP="00077A22">
      <w:pPr>
        <w:widowControl/>
        <w:shd w:val="clear" w:color="auto" w:fill="FFFFFF"/>
        <w:jc w:val="center"/>
        <w:rPr>
          <w:rFonts w:ascii="Times New Roman" w:eastAsia="宋体" w:hAnsi="Times New Roman" w:cs="Times New Roman" w:hint="eastAsia"/>
          <w:b/>
          <w:bCs/>
          <w:color w:val="505050"/>
          <w:kern w:val="0"/>
          <w:sz w:val="44"/>
          <w:szCs w:val="44"/>
        </w:rPr>
      </w:pP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宋体" w:eastAsia="宋体" w:hAnsi="宋体" w:cs="宋体" w:hint="eastAsia"/>
          <w:b/>
          <w:bCs/>
          <w:color w:val="505050"/>
          <w:kern w:val="0"/>
          <w:sz w:val="44"/>
          <w:szCs w:val="44"/>
        </w:rPr>
        <w:t>二</w:t>
      </w:r>
      <w:r w:rsidRPr="00077A22">
        <w:rPr>
          <w:rFonts w:ascii="Times New Roman" w:eastAsia="宋体" w:hAnsi="Times New Roman" w:cs="Times New Roman"/>
          <w:b/>
          <w:bCs/>
          <w:color w:val="505050"/>
          <w:kern w:val="0"/>
          <w:sz w:val="44"/>
          <w:szCs w:val="44"/>
        </w:rPr>
        <w:t>O</w:t>
      </w:r>
      <w:r w:rsidRPr="00077A22">
        <w:rPr>
          <w:rFonts w:ascii="宋体" w:eastAsia="宋体" w:hAnsi="宋体" w:cs="宋体" w:hint="eastAsia"/>
          <w:b/>
          <w:bCs/>
          <w:color w:val="505050"/>
          <w:kern w:val="0"/>
          <w:sz w:val="44"/>
          <w:szCs w:val="44"/>
        </w:rPr>
        <w:t>一九年九月</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lastRenderedPageBreak/>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Times New Roman" w:eastAsia="宋体" w:hAnsi="Times New Roman" w:cs="Times New Roman"/>
          <w:b/>
          <w:bCs/>
          <w:color w:val="505050"/>
          <w:kern w:val="0"/>
          <w:sz w:val="44"/>
          <w:szCs w:val="44"/>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sidRPr="00077A22">
        <w:rPr>
          <w:rFonts w:ascii="方正小标宋_GBK" w:eastAsia="方正小标宋_GBK" w:hAnsi="Calibri" w:cs="宋体" w:hint="eastAsia"/>
          <w:color w:val="505050"/>
          <w:kern w:val="0"/>
          <w:sz w:val="44"/>
          <w:szCs w:val="44"/>
        </w:rPr>
        <w:t>目</w:t>
      </w:r>
      <w:r w:rsidRPr="00077A22">
        <w:rPr>
          <w:rFonts w:ascii="Times New Roman" w:eastAsia="宋体" w:hAnsi="Times New Roman" w:cs="Times New Roman"/>
          <w:color w:val="505050"/>
          <w:kern w:val="0"/>
          <w:sz w:val="44"/>
          <w:szCs w:val="44"/>
        </w:rPr>
        <w:t> </w:t>
      </w:r>
      <w:r w:rsidRPr="00077A22">
        <w:rPr>
          <w:rFonts w:ascii="Times New Roman" w:eastAsia="宋体" w:hAnsi="Times New Roman" w:cs="Times New Roman"/>
          <w:color w:val="505050"/>
          <w:kern w:val="0"/>
          <w:sz w:val="44"/>
          <w:szCs w:val="44"/>
        </w:rPr>
        <w:t xml:space="preserve"> </w:t>
      </w:r>
      <w:r w:rsidRPr="00077A22">
        <w:rPr>
          <w:rFonts w:ascii="方正小标宋_GBK" w:eastAsia="方正小标宋_GBK" w:hAnsi="Calibri" w:cs="宋体" w:hint="eastAsia"/>
          <w:color w:val="505050"/>
          <w:kern w:val="0"/>
          <w:sz w:val="44"/>
          <w:szCs w:val="44"/>
        </w:rPr>
        <w:t>录</w:t>
      </w:r>
    </w:p>
    <w:p w:rsidR="00077A22" w:rsidRPr="00077A22" w:rsidRDefault="00077A22" w:rsidP="00077A22">
      <w:pPr>
        <w:widowControl/>
        <w:shd w:val="clear" w:color="auto" w:fill="FFFFFF"/>
        <w:rPr>
          <w:rFonts w:ascii="Calibri" w:eastAsia="宋体" w:hAnsi="Calibri" w:cs="宋体"/>
          <w:color w:val="505050"/>
          <w:kern w:val="0"/>
          <w:szCs w:val="21"/>
        </w:rPr>
      </w:pPr>
      <w:r w:rsidRPr="00077A22">
        <w:rPr>
          <w:rFonts w:ascii="MS Mincho" w:eastAsia="MS Mincho" w:hAnsi="MS Mincho" w:cs="MS Mincho" w:hint="eastAsia"/>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第一部分</w:t>
      </w:r>
      <w:r w:rsidRPr="00077A22">
        <w:rPr>
          <w:rFonts w:ascii="Times New Roman" w:eastAsia="宋体" w:hAnsi="Times New Roman" w:cs="Times New Roman"/>
          <w:color w:val="505050"/>
          <w:kern w:val="0"/>
          <w:sz w:val="32"/>
          <w:szCs w:val="32"/>
        </w:rPr>
        <w:t> </w:t>
      </w:r>
      <w:r w:rsidRPr="00077A22">
        <w:rPr>
          <w:rFonts w:ascii="Times New Roman" w:eastAsia="宋体" w:hAnsi="Times New Roman" w:cs="Times New Roman"/>
          <w:color w:val="505050"/>
          <w:kern w:val="0"/>
          <w:sz w:val="32"/>
          <w:szCs w:val="32"/>
        </w:rPr>
        <w:t xml:space="preserve"> </w:t>
      </w:r>
      <w:r w:rsidRPr="00077A22">
        <w:rPr>
          <w:rFonts w:ascii="黑体" w:eastAsia="黑体" w:hAnsi="黑体" w:cs="宋体" w:hint="eastAsia"/>
          <w:color w:val="505050"/>
          <w:kern w:val="0"/>
          <w:sz w:val="32"/>
          <w:szCs w:val="32"/>
        </w:rPr>
        <w:t>单位概况</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一、部门职责</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二、机构设置</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第二部分</w:t>
      </w:r>
      <w:r w:rsidRPr="00077A22">
        <w:rPr>
          <w:rFonts w:ascii="Times New Roman" w:eastAsia="宋体" w:hAnsi="Times New Roman" w:cs="Times New Roman"/>
          <w:color w:val="505050"/>
          <w:kern w:val="0"/>
          <w:sz w:val="32"/>
          <w:szCs w:val="32"/>
        </w:rPr>
        <w:t xml:space="preserve"> 2018</w:t>
      </w:r>
      <w:r w:rsidRPr="00077A22">
        <w:rPr>
          <w:rFonts w:ascii="Times New Roman" w:eastAsia="宋体" w:hAnsi="Times New Roman" w:cs="Times New Roman"/>
          <w:color w:val="505050"/>
          <w:kern w:val="0"/>
          <w:sz w:val="32"/>
          <w:szCs w:val="32"/>
        </w:rPr>
        <w:t> </w:t>
      </w:r>
      <w:r w:rsidRPr="00077A22">
        <w:rPr>
          <w:rFonts w:ascii="黑体" w:eastAsia="黑体" w:hAnsi="黑体" w:cs="宋体" w:hint="eastAsia"/>
          <w:color w:val="505050"/>
          <w:kern w:val="0"/>
          <w:sz w:val="32"/>
          <w:szCs w:val="32"/>
        </w:rPr>
        <w:t>年度部门决算表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一、收入支出决算总表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二、收入决算表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三、支出决算表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四、财政拨款收入支出决算总表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五、一般公共预算财政拨款支出决算表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六、一般公共预算财政拨款基本支出决算表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七、一般公共预算财政拨款“三公”经费支出决算表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八、政府性基金预算财政拨款收入支出决算表</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第三部分</w:t>
      </w:r>
      <w:r w:rsidRPr="00077A22">
        <w:rPr>
          <w:rFonts w:ascii="Times New Roman" w:eastAsia="宋体" w:hAnsi="Times New Roman" w:cs="Times New Roman"/>
          <w:color w:val="505050"/>
          <w:kern w:val="0"/>
          <w:sz w:val="32"/>
          <w:szCs w:val="32"/>
        </w:rPr>
        <w:t xml:space="preserve"> 2018</w:t>
      </w:r>
      <w:r w:rsidRPr="00077A22">
        <w:rPr>
          <w:rFonts w:ascii="Times New Roman" w:eastAsia="宋体" w:hAnsi="Times New Roman" w:cs="Times New Roman"/>
          <w:color w:val="505050"/>
          <w:kern w:val="0"/>
          <w:sz w:val="32"/>
          <w:szCs w:val="32"/>
        </w:rPr>
        <w:t> </w:t>
      </w:r>
      <w:r w:rsidRPr="00077A22">
        <w:rPr>
          <w:rFonts w:ascii="黑体" w:eastAsia="黑体" w:hAnsi="黑体" w:cs="宋体" w:hint="eastAsia"/>
          <w:color w:val="505050"/>
          <w:kern w:val="0"/>
          <w:sz w:val="32"/>
          <w:szCs w:val="32"/>
        </w:rPr>
        <w:t>年度部门决算情况说明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一、收入支出决算总体情况说明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二、收入决算情况说明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三、支出决算情况说明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四、财政拨款收入支出决算总体情况说明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五、一般公共预算财政拨款支出决算情况说明</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六、一般公共预算财政拨款基本支出决算情况说明</w:t>
      </w:r>
    </w:p>
    <w:p w:rsidR="00077A22" w:rsidRPr="00077A22" w:rsidRDefault="00077A22" w:rsidP="00077A22">
      <w:pPr>
        <w:widowControl/>
        <w:shd w:val="clear" w:color="auto" w:fill="FFFFFF"/>
        <w:spacing w:line="600" w:lineRule="atLeast"/>
        <w:ind w:left="320" w:hanging="32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lastRenderedPageBreak/>
        <w:t>七、一般公共预算财政拨款“三公”经费支出情况决算情况说明</w:t>
      </w:r>
    </w:p>
    <w:p w:rsidR="00092E3E" w:rsidRPr="00092E3E" w:rsidRDefault="00077A22" w:rsidP="00077A22">
      <w:pPr>
        <w:widowControl/>
        <w:shd w:val="clear" w:color="auto" w:fill="FFFFFF"/>
        <w:spacing w:line="600" w:lineRule="atLeast"/>
        <w:rPr>
          <w:rFonts w:ascii="仿宋" w:eastAsia="仿宋" w:hAnsi="仿宋" w:cs="宋体" w:hint="eastAsia"/>
          <w:bCs/>
          <w:color w:val="505050"/>
          <w:kern w:val="0"/>
          <w:sz w:val="32"/>
          <w:szCs w:val="32"/>
        </w:rPr>
      </w:pPr>
      <w:r w:rsidRPr="00077A22">
        <w:rPr>
          <w:rFonts w:ascii="仿宋" w:eastAsia="仿宋" w:hAnsi="仿宋" w:cs="宋体" w:hint="eastAsia"/>
          <w:color w:val="505050"/>
          <w:kern w:val="0"/>
          <w:sz w:val="32"/>
          <w:szCs w:val="32"/>
        </w:rPr>
        <w:t>八</w:t>
      </w:r>
      <w:r w:rsidRPr="00092E3E">
        <w:rPr>
          <w:rFonts w:ascii="仿宋" w:eastAsia="仿宋" w:hAnsi="仿宋" w:cs="宋体" w:hint="eastAsia"/>
          <w:color w:val="505050"/>
          <w:kern w:val="0"/>
          <w:sz w:val="32"/>
          <w:szCs w:val="32"/>
        </w:rPr>
        <w:t>、</w:t>
      </w:r>
      <w:r w:rsidR="00092E3E" w:rsidRPr="00092E3E">
        <w:rPr>
          <w:rFonts w:ascii="仿宋" w:eastAsia="仿宋" w:hAnsi="仿宋" w:cs="宋体" w:hint="eastAsia"/>
          <w:bCs/>
          <w:color w:val="505050"/>
          <w:kern w:val="0"/>
          <w:sz w:val="32"/>
          <w:szCs w:val="32"/>
        </w:rPr>
        <w:t>政府性基金预算收入支出决算情况</w:t>
      </w:r>
    </w:p>
    <w:p w:rsidR="00077A22" w:rsidRPr="00092E3E" w:rsidRDefault="00092E3E" w:rsidP="00077A22">
      <w:pPr>
        <w:widowControl/>
        <w:shd w:val="clear" w:color="auto" w:fill="FFFFFF"/>
        <w:spacing w:line="600" w:lineRule="atLeast"/>
        <w:rPr>
          <w:rFonts w:ascii="仿宋" w:eastAsia="仿宋" w:hAnsi="仿宋" w:cs="宋体"/>
          <w:color w:val="505050"/>
          <w:kern w:val="0"/>
          <w:szCs w:val="21"/>
        </w:rPr>
      </w:pPr>
      <w:r w:rsidRPr="00092E3E">
        <w:rPr>
          <w:rFonts w:ascii="仿宋" w:eastAsia="仿宋" w:hAnsi="仿宋" w:cs="宋体" w:hint="eastAsia"/>
          <w:bCs/>
          <w:color w:val="505050"/>
          <w:kern w:val="0"/>
          <w:sz w:val="32"/>
          <w:szCs w:val="32"/>
        </w:rPr>
        <w:t>九、</w:t>
      </w:r>
      <w:r w:rsidR="00077A22" w:rsidRPr="00092E3E">
        <w:rPr>
          <w:rFonts w:ascii="仿宋" w:eastAsia="仿宋" w:hAnsi="仿宋" w:cs="宋体" w:hint="eastAsia"/>
          <w:color w:val="505050"/>
          <w:kern w:val="0"/>
          <w:sz w:val="32"/>
          <w:szCs w:val="32"/>
        </w:rPr>
        <w:t>预算绩效情况说明</w:t>
      </w:r>
    </w:p>
    <w:p w:rsidR="00077A22" w:rsidRPr="00092E3E" w:rsidRDefault="00092E3E" w:rsidP="00077A22">
      <w:pPr>
        <w:widowControl/>
        <w:shd w:val="clear" w:color="auto" w:fill="FFFFFF"/>
        <w:spacing w:line="600" w:lineRule="atLeast"/>
        <w:rPr>
          <w:rFonts w:ascii="仿宋" w:eastAsia="仿宋" w:hAnsi="仿宋" w:cs="宋体" w:hint="eastAsia"/>
          <w:color w:val="505050"/>
          <w:kern w:val="0"/>
          <w:sz w:val="32"/>
          <w:szCs w:val="32"/>
        </w:rPr>
      </w:pPr>
      <w:r w:rsidRPr="00092E3E">
        <w:rPr>
          <w:rFonts w:ascii="仿宋" w:eastAsia="仿宋" w:hAnsi="仿宋" w:cs="宋体" w:hint="eastAsia"/>
          <w:color w:val="505050"/>
          <w:kern w:val="0"/>
          <w:sz w:val="32"/>
          <w:szCs w:val="32"/>
        </w:rPr>
        <w:t>十</w:t>
      </w:r>
      <w:r w:rsidR="00077A22" w:rsidRPr="00092E3E">
        <w:rPr>
          <w:rFonts w:ascii="仿宋" w:eastAsia="仿宋" w:hAnsi="仿宋" w:cs="宋体" w:hint="eastAsia"/>
          <w:color w:val="505050"/>
          <w:kern w:val="0"/>
          <w:sz w:val="32"/>
          <w:szCs w:val="32"/>
        </w:rPr>
        <w:t>、其他重要事项的情况说明</w:t>
      </w:r>
    </w:p>
    <w:p w:rsidR="00092E3E" w:rsidRPr="00092E3E" w:rsidRDefault="00092E3E" w:rsidP="00077A22">
      <w:pPr>
        <w:widowControl/>
        <w:shd w:val="clear" w:color="auto" w:fill="FFFFFF"/>
        <w:spacing w:line="600" w:lineRule="atLeast"/>
        <w:rPr>
          <w:rFonts w:ascii="仿宋" w:eastAsia="仿宋" w:hAnsi="仿宋" w:cs="宋体"/>
          <w:color w:val="505050"/>
          <w:kern w:val="0"/>
          <w:szCs w:val="21"/>
        </w:rPr>
      </w:pPr>
      <w:r w:rsidRPr="00092E3E">
        <w:rPr>
          <w:rFonts w:ascii="仿宋" w:eastAsia="仿宋" w:hAnsi="仿宋" w:cs="宋体" w:hint="eastAsia"/>
          <w:color w:val="505050"/>
          <w:kern w:val="0"/>
          <w:sz w:val="32"/>
          <w:szCs w:val="32"/>
        </w:rPr>
        <w:t>十一、名词解释</w:t>
      </w:r>
    </w:p>
    <w:p w:rsidR="00077A22" w:rsidRPr="00092E3E" w:rsidRDefault="00077A22" w:rsidP="00077A22">
      <w:pPr>
        <w:widowControl/>
        <w:shd w:val="clear" w:color="auto" w:fill="FFFFFF"/>
        <w:spacing w:line="600" w:lineRule="atLeast"/>
        <w:rPr>
          <w:rFonts w:ascii="仿宋" w:eastAsia="仿宋" w:hAnsi="仿宋" w:cs="宋体"/>
          <w:color w:val="505050"/>
          <w:kern w:val="0"/>
          <w:szCs w:val="21"/>
        </w:rPr>
      </w:pPr>
      <w:r w:rsidRPr="00092E3E">
        <w:rPr>
          <w:rFonts w:ascii="仿宋" w:eastAsia="仿宋" w:hAnsi="Times New Roman" w:cs="Times New Roman"/>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t> </w:t>
      </w:r>
    </w:p>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b/>
          <w:bCs/>
          <w:color w:val="505050"/>
          <w:kern w:val="0"/>
          <w:sz w:val="32"/>
          <w:szCs w:val="32"/>
        </w:rPr>
        <w:lastRenderedPageBreak/>
        <w:t> </w:t>
      </w:r>
    </w:p>
    <w:p w:rsidR="00077A22" w:rsidRPr="00077A22" w:rsidRDefault="00077A22" w:rsidP="00077A22">
      <w:pPr>
        <w:widowControl/>
        <w:shd w:val="clear" w:color="auto" w:fill="FFFFFF"/>
        <w:spacing w:line="600" w:lineRule="atLeast"/>
        <w:ind w:firstLine="320"/>
        <w:rPr>
          <w:rFonts w:ascii="Calibri" w:eastAsia="宋体" w:hAnsi="Calibri" w:cs="宋体"/>
          <w:color w:val="505050"/>
          <w:kern w:val="0"/>
          <w:szCs w:val="21"/>
        </w:rPr>
      </w:pPr>
      <w:r w:rsidRPr="00077A22">
        <w:rPr>
          <w:rFonts w:ascii="Times New Roman" w:eastAsia="宋体" w:hAnsi="Times New Roman" w:cs="Times New Roman"/>
          <w:color w:val="505050"/>
          <w:kern w:val="0"/>
          <w:sz w:val="32"/>
          <w:szCs w:val="32"/>
        </w:rPr>
        <w:t> </w:t>
      </w:r>
    </w:p>
    <w:p w:rsidR="00077A22" w:rsidRPr="00077A22" w:rsidRDefault="00077A22" w:rsidP="00077A22">
      <w:pPr>
        <w:widowControl/>
        <w:shd w:val="clear" w:color="auto" w:fill="FFFFFF"/>
        <w:spacing w:line="600" w:lineRule="atLeast"/>
        <w:ind w:firstLine="320"/>
        <w:jc w:val="center"/>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第一部分</w:t>
      </w:r>
      <w:r w:rsidRPr="00077A22">
        <w:rPr>
          <w:rFonts w:ascii="Times New Roman" w:eastAsia="宋体" w:hAnsi="Times New Roman" w:cs="Times New Roman"/>
          <w:color w:val="505050"/>
          <w:kern w:val="0"/>
          <w:sz w:val="32"/>
          <w:szCs w:val="32"/>
        </w:rPr>
        <w:t> </w:t>
      </w:r>
      <w:r w:rsidRPr="00077A22">
        <w:rPr>
          <w:rFonts w:ascii="Times New Roman" w:eastAsia="宋体" w:hAnsi="Times New Roman" w:cs="Times New Roman"/>
          <w:color w:val="505050"/>
          <w:kern w:val="0"/>
          <w:sz w:val="32"/>
          <w:szCs w:val="32"/>
        </w:rPr>
        <w:t xml:space="preserve"> </w:t>
      </w:r>
      <w:r w:rsidRPr="00077A22">
        <w:rPr>
          <w:rFonts w:ascii="黑体" w:eastAsia="黑体" w:hAnsi="黑体" w:cs="宋体" w:hint="eastAsia"/>
          <w:color w:val="505050"/>
          <w:kern w:val="0"/>
          <w:sz w:val="32"/>
          <w:szCs w:val="32"/>
        </w:rPr>
        <w:t>单位概况</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一、部门职责</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（1）负责全市科学技术进步的宏观管理和统筹协调。</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（2）组织实施科技重大专项。</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（3）负责组织实施市级科技工作计划。</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（4）牵头组织全市农村和社会发展领域科技进步工作。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（5）牵头组织协调促进全市产学研结合工作。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（6）主管全市高新技术的研究开发、成果转化以及产业化工作。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（7）会同有关部门提出全市科技体制改革的建议与措施，推进全市创新体系建设；审核相关科研机构的组建和调整。</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8）负责本部门及归口管理的市级科技经费预决算和经费使用的监督管理；会同有关部门制定多渠道增加科技投入措施；组织拟订全市科研条件保障的规划和相关措施；会同有关部门提出科技资源合理配置的建议。</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（9）拟订全市对外科技合作与交流的规划和相关措施；负责组织科技外事与合作项目的审定工作；参与重大引进项目的论证与决策。</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（10）负责全市科学技术普及工作。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lastRenderedPageBreak/>
        <w:t>（11）负责全市科技人才有关工作。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（12）负责全市科技奖励、科技保密、科技评估、科技统计、科技情报信息、科技期刊管理等工作。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（13）指导、协调知识产权工作；组织、推动《中华人民共和国专利法》及相关法规的宣传普及培训工作；负责专利行政执法工作，依法调处专利纠纷和查处假冒专利行为；统筹协调对外知识产权事宜。</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（14）承办市委、市人民政府交办的其他事项。</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二、机构设置</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科技局现有内设科室7个，下属正科级全额拨款事业单位1个。7个内设科室是办公室、政策法规与科技合作科（科技人才工作办公室）、综合规划与高新技术产业发展科、农村科技与社会发展科、科技成果与技术市场科（监督管理科）、知识产权科、专利执法科（知识产权维权援助中心）。1个下属事业单位是技术市场办。</w:t>
      </w:r>
    </w:p>
    <w:p w:rsidR="00077A22" w:rsidRPr="00077A22" w:rsidRDefault="00077A22" w:rsidP="00077A22">
      <w:pPr>
        <w:widowControl/>
        <w:shd w:val="clear" w:color="auto" w:fill="FFFFFF"/>
        <w:spacing w:line="600" w:lineRule="atLeast"/>
        <w:jc w:val="center"/>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第二部分</w:t>
      </w:r>
      <w:r w:rsidRPr="00077A22">
        <w:rPr>
          <w:rFonts w:ascii="Times New Roman" w:eastAsia="宋体" w:hAnsi="Times New Roman" w:cs="Times New Roman"/>
          <w:color w:val="505050"/>
          <w:kern w:val="0"/>
          <w:sz w:val="32"/>
          <w:szCs w:val="32"/>
        </w:rPr>
        <w:t xml:space="preserve"> 2018</w:t>
      </w:r>
      <w:r w:rsidRPr="00077A22">
        <w:rPr>
          <w:rFonts w:ascii="Times New Roman" w:eastAsia="宋体" w:hAnsi="Times New Roman" w:cs="Times New Roman"/>
          <w:color w:val="505050"/>
          <w:kern w:val="0"/>
          <w:sz w:val="32"/>
          <w:szCs w:val="32"/>
        </w:rPr>
        <w:t> </w:t>
      </w:r>
      <w:r w:rsidRPr="00077A22">
        <w:rPr>
          <w:rFonts w:ascii="黑体" w:eastAsia="黑体" w:hAnsi="黑体" w:cs="宋体" w:hint="eastAsia"/>
          <w:color w:val="505050"/>
          <w:kern w:val="0"/>
          <w:sz w:val="32"/>
          <w:szCs w:val="32"/>
        </w:rPr>
        <w:t>年度部门决算表</w:t>
      </w:r>
    </w:p>
    <w:tbl>
      <w:tblPr>
        <w:tblpPr w:leftFromText="45" w:rightFromText="45" w:vertAnchor="text"/>
        <w:tblW w:w="0" w:type="auto"/>
        <w:tblCellSpacing w:w="0" w:type="dxa"/>
        <w:tblCellMar>
          <w:left w:w="0" w:type="dxa"/>
          <w:right w:w="0" w:type="dxa"/>
        </w:tblCellMar>
        <w:tblLook w:val="04A0"/>
      </w:tblPr>
      <w:tblGrid>
        <w:gridCol w:w="6"/>
        <w:gridCol w:w="8300"/>
      </w:tblGrid>
      <w:tr w:rsidR="00077A22" w:rsidRPr="00077A22" w:rsidTr="00077A22">
        <w:trPr>
          <w:gridAfter w:val="1"/>
          <w:trHeight w:val="45"/>
          <w:tblCellSpacing w:w="0" w:type="dxa"/>
        </w:trPr>
        <w:tc>
          <w:tcPr>
            <w:tcW w:w="15" w:type="dxa"/>
            <w:vAlign w:val="center"/>
            <w:hideMark/>
          </w:tcPr>
          <w:p w:rsidR="00077A22" w:rsidRPr="00077A22" w:rsidRDefault="00077A22" w:rsidP="00077A22">
            <w:pPr>
              <w:widowControl/>
              <w:jc w:val="left"/>
              <w:rPr>
                <w:rFonts w:ascii="宋体" w:eastAsia="宋体" w:hAnsi="宋体" w:cs="宋体"/>
                <w:kern w:val="0"/>
                <w:sz w:val="4"/>
                <w:szCs w:val="18"/>
              </w:rPr>
            </w:pPr>
          </w:p>
        </w:tc>
      </w:tr>
      <w:tr w:rsidR="00077A22" w:rsidRPr="00077A22" w:rsidTr="00077A22">
        <w:trPr>
          <w:tblCellSpacing w:w="0" w:type="dxa"/>
        </w:trPr>
        <w:tc>
          <w:tcPr>
            <w:tcW w:w="0" w:type="auto"/>
            <w:vAlign w:val="center"/>
            <w:hideMark/>
          </w:tcPr>
          <w:p w:rsidR="00077A22" w:rsidRPr="00077A22" w:rsidRDefault="00077A22" w:rsidP="00077A22">
            <w:pPr>
              <w:widowControl/>
              <w:jc w:val="left"/>
              <w:rPr>
                <w:rFonts w:ascii="宋体" w:eastAsia="宋体" w:hAnsi="宋体" w:cs="宋体"/>
                <w:kern w:val="0"/>
                <w:sz w:val="18"/>
                <w:szCs w:val="18"/>
              </w:rPr>
            </w:pPr>
          </w:p>
        </w:tc>
        <w:tc>
          <w:tcPr>
            <w:tcW w:w="0" w:type="auto"/>
            <w:vAlign w:val="center"/>
            <w:hideMark/>
          </w:tcPr>
          <w:p w:rsidR="00077A22" w:rsidRPr="00077A22" w:rsidRDefault="00077A22" w:rsidP="00077A22">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267325" cy="8143875"/>
                  <wp:effectExtent l="19050" t="0" r="9525" b="0"/>
                  <wp:docPr id="1" name="图片 1" descr="QQ图片20190910103808.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90910103808.png,1.png"/>
                          <pic:cNvPicPr>
                            <a:picLocks noChangeAspect="1" noChangeArrowheads="1"/>
                          </pic:cNvPicPr>
                        </pic:nvPicPr>
                        <pic:blipFill>
                          <a:blip r:embed="rId6" cstate="print"/>
                          <a:srcRect/>
                          <a:stretch>
                            <a:fillRect/>
                          </a:stretch>
                        </pic:blipFill>
                        <pic:spPr bwMode="auto">
                          <a:xfrm>
                            <a:off x="0" y="0"/>
                            <a:ext cx="5267325" cy="8143875"/>
                          </a:xfrm>
                          <a:prstGeom prst="rect">
                            <a:avLst/>
                          </a:prstGeom>
                          <a:noFill/>
                          <a:ln w="9525">
                            <a:noFill/>
                            <a:miter lim="800000"/>
                            <a:headEnd/>
                            <a:tailEnd/>
                          </a:ln>
                        </pic:spPr>
                      </pic:pic>
                    </a:graphicData>
                  </a:graphic>
                </wp:inline>
              </w:drawing>
            </w:r>
          </w:p>
        </w:tc>
      </w:tr>
    </w:tbl>
    <w:p w:rsidR="00077A22" w:rsidRPr="00077A22" w:rsidRDefault="00077A22" w:rsidP="00077A22">
      <w:pPr>
        <w:widowControl/>
        <w:shd w:val="clear" w:color="auto" w:fill="FFFFFF"/>
        <w:spacing w:line="600" w:lineRule="atLeast"/>
        <w:rPr>
          <w:rFonts w:ascii="Calibri" w:eastAsia="宋体" w:hAnsi="Calibri" w:cs="宋体"/>
          <w:color w:val="505050"/>
          <w:kern w:val="0"/>
          <w:szCs w:val="21"/>
        </w:rPr>
      </w:pPr>
      <w:r w:rsidRPr="00077A22">
        <w:rPr>
          <w:rFonts w:ascii="Times New Roman" w:eastAsia="宋体" w:hAnsi="Times New Roman" w:cs="Times New Roman"/>
          <w:color w:val="505050"/>
          <w:kern w:val="0"/>
          <w:sz w:val="32"/>
          <w:szCs w:val="32"/>
        </w:rPr>
        <w:t> </w:t>
      </w:r>
      <w:r w:rsidRPr="00077A22">
        <w:rPr>
          <w:rFonts w:ascii="Calibri" w:eastAsia="宋体" w:hAnsi="Calibri" w:cs="宋体"/>
          <w:color w:val="505050"/>
          <w:kern w:val="0"/>
          <w:szCs w:val="21"/>
        </w:rPr>
        <w:t xml:space="preserve"> </w:t>
      </w:r>
    </w:p>
    <w:p w:rsidR="00077A22" w:rsidRPr="00077A22" w:rsidRDefault="00077A22" w:rsidP="00077A22">
      <w:pPr>
        <w:widowControl/>
        <w:shd w:val="clear" w:color="auto" w:fill="FFFFFF"/>
        <w:jc w:val="left"/>
        <w:rPr>
          <w:rFonts w:ascii="宋体" w:eastAsia="宋体" w:hAnsi="宋体" w:cs="宋体"/>
          <w:kern w:val="0"/>
          <w:sz w:val="18"/>
          <w:szCs w:val="18"/>
        </w:rPr>
      </w:pPr>
    </w:p>
    <w:p w:rsidR="00077A22" w:rsidRPr="00077A22" w:rsidRDefault="00077A22" w:rsidP="00077A22">
      <w:pPr>
        <w:widowControl/>
        <w:shd w:val="clear" w:color="auto" w:fill="FFFFFF"/>
        <w:jc w:val="center"/>
        <w:rPr>
          <w:rFonts w:ascii="Calibri" w:eastAsia="宋体" w:hAnsi="Calibri" w:cs="宋体"/>
          <w:color w:val="505050"/>
          <w:kern w:val="0"/>
          <w:szCs w:val="21"/>
        </w:rPr>
      </w:pPr>
      <w:r>
        <w:rPr>
          <w:rFonts w:ascii="Times New Roman" w:eastAsia="宋体" w:hAnsi="Times New Roman" w:cs="Times New Roman"/>
          <w:noProof/>
          <w:color w:val="505050"/>
          <w:kern w:val="0"/>
          <w:sz w:val="32"/>
          <w:szCs w:val="32"/>
        </w:rPr>
        <w:drawing>
          <wp:inline distT="0" distB="0" distL="0" distR="0">
            <wp:extent cx="5153025" cy="4286250"/>
            <wp:effectExtent l="19050" t="0" r="9525" b="0"/>
            <wp:docPr id="2" name="图片 2" descr="http://admin.yzcity.gov.cn:8888/attachment/cmsfile/czj/030702/201909/daofile/1422764eb5e67071a4d76b78334c4236b5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yzcity.gov.cn:8888/attachment/cmsfile/czj/030702/201909/daofile/1422764eb5e67071a4d76b78334c4236b5467.png"/>
                    <pic:cNvPicPr>
                      <a:picLocks noChangeAspect="1" noChangeArrowheads="1"/>
                    </pic:cNvPicPr>
                  </pic:nvPicPr>
                  <pic:blipFill>
                    <a:blip r:embed="rId7" cstate="print"/>
                    <a:srcRect/>
                    <a:stretch>
                      <a:fillRect/>
                    </a:stretch>
                  </pic:blipFill>
                  <pic:spPr bwMode="auto">
                    <a:xfrm>
                      <a:off x="0" y="0"/>
                      <a:ext cx="5153025" cy="4286250"/>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jc w:val="center"/>
        <w:rPr>
          <w:rFonts w:ascii="Calibri" w:eastAsia="宋体" w:hAnsi="Calibri" w:cs="宋体"/>
          <w:color w:val="505050"/>
          <w:kern w:val="0"/>
          <w:szCs w:val="21"/>
        </w:rPr>
      </w:pPr>
      <w:r>
        <w:rPr>
          <w:rFonts w:ascii="Times New Roman" w:eastAsia="宋体" w:hAnsi="Times New Roman" w:cs="Times New Roman"/>
          <w:noProof/>
          <w:color w:val="505050"/>
          <w:kern w:val="0"/>
          <w:sz w:val="32"/>
          <w:szCs w:val="32"/>
        </w:rPr>
        <w:lastRenderedPageBreak/>
        <w:drawing>
          <wp:inline distT="0" distB="0" distL="0" distR="0">
            <wp:extent cx="5276850" cy="4714875"/>
            <wp:effectExtent l="19050" t="0" r="0" b="0"/>
            <wp:docPr id="3" name="图片 3" descr="http://admin.yzcity.gov.cn:8888/attachment/cmsfile/czj/030702/201909/daofile/14546e1001c458a21492ba8be5700fa842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yzcity.gov.cn:8888/attachment/cmsfile/czj/030702/201909/daofile/14546e1001c458a21492ba8be5700fa842172.png"/>
                    <pic:cNvPicPr>
                      <a:picLocks noChangeAspect="1" noChangeArrowheads="1"/>
                    </pic:cNvPicPr>
                  </pic:nvPicPr>
                  <pic:blipFill>
                    <a:blip r:embed="rId8" cstate="print"/>
                    <a:srcRect/>
                    <a:stretch>
                      <a:fillRect/>
                    </a:stretch>
                  </pic:blipFill>
                  <pic:spPr bwMode="auto">
                    <a:xfrm>
                      <a:off x="0" y="0"/>
                      <a:ext cx="5276850" cy="4714875"/>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rPr>
          <w:rFonts w:ascii="Calibri" w:eastAsia="宋体" w:hAnsi="Calibri" w:cs="宋体"/>
          <w:color w:val="505050"/>
          <w:kern w:val="0"/>
          <w:szCs w:val="21"/>
        </w:rPr>
      </w:pPr>
      <w:r w:rsidRPr="00077A22">
        <w:rPr>
          <w:rFonts w:ascii="Times New Roman" w:eastAsia="宋体" w:hAnsi="Times New Roman" w:cs="Times New Roman"/>
          <w:color w:val="505050"/>
          <w:kern w:val="0"/>
          <w:sz w:val="32"/>
          <w:szCs w:val="32"/>
        </w:rPr>
        <w:t> </w:t>
      </w:r>
    </w:p>
    <w:p w:rsidR="00077A22" w:rsidRPr="00077A22" w:rsidRDefault="00077A22" w:rsidP="00077A22">
      <w:pPr>
        <w:widowControl/>
        <w:shd w:val="clear" w:color="auto" w:fill="FFFFFF"/>
        <w:jc w:val="center"/>
        <w:rPr>
          <w:rFonts w:ascii="Calibri" w:eastAsia="宋体" w:hAnsi="Calibri" w:cs="宋体"/>
          <w:color w:val="505050"/>
          <w:kern w:val="0"/>
          <w:szCs w:val="21"/>
        </w:rPr>
      </w:pPr>
      <w:r>
        <w:rPr>
          <w:rFonts w:ascii="Times New Roman" w:eastAsia="宋体" w:hAnsi="Times New Roman" w:cs="Times New Roman"/>
          <w:noProof/>
          <w:color w:val="505050"/>
          <w:kern w:val="0"/>
          <w:sz w:val="32"/>
          <w:szCs w:val="32"/>
        </w:rPr>
        <w:drawing>
          <wp:inline distT="0" distB="0" distL="0" distR="0">
            <wp:extent cx="5229225" cy="3248025"/>
            <wp:effectExtent l="19050" t="0" r="9525" b="0"/>
            <wp:docPr id="4" name="图片 4" descr="http://admin.yzcity.gov.cn:8888/attachment/cmsfile/czj/030702/201909/daofile/144363eb8aa8927664eaab2d0f4cfb46fa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in.yzcity.gov.cn:8888/attachment/cmsfile/czj/030702/201909/daofile/144363eb8aa8927664eaab2d0f4cfb46fa158.png"/>
                    <pic:cNvPicPr>
                      <a:picLocks noChangeAspect="1" noChangeArrowheads="1"/>
                    </pic:cNvPicPr>
                  </pic:nvPicPr>
                  <pic:blipFill>
                    <a:blip r:embed="rId9" cstate="print"/>
                    <a:srcRect/>
                    <a:stretch>
                      <a:fillRect/>
                    </a:stretch>
                  </pic:blipFill>
                  <pic:spPr bwMode="auto">
                    <a:xfrm>
                      <a:off x="0" y="0"/>
                      <a:ext cx="5229225" cy="3248025"/>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jc w:val="center"/>
        <w:rPr>
          <w:rFonts w:ascii="Calibri" w:eastAsia="宋体" w:hAnsi="Calibri" w:cs="宋体"/>
          <w:color w:val="505050"/>
          <w:kern w:val="0"/>
          <w:szCs w:val="21"/>
        </w:rPr>
      </w:pPr>
      <w:r>
        <w:rPr>
          <w:rFonts w:ascii="Times New Roman" w:eastAsia="宋体" w:hAnsi="Times New Roman" w:cs="Times New Roman"/>
          <w:noProof/>
          <w:color w:val="505050"/>
          <w:kern w:val="0"/>
          <w:sz w:val="32"/>
          <w:szCs w:val="32"/>
        </w:rPr>
        <w:lastRenderedPageBreak/>
        <w:drawing>
          <wp:inline distT="0" distB="0" distL="0" distR="0">
            <wp:extent cx="5276850" cy="3838575"/>
            <wp:effectExtent l="19050" t="0" r="0" b="0"/>
            <wp:docPr id="5" name="图片 5" descr="http://admin.yzcity.gov.cn:8888/attachment/cmsfile/czj/030702/201909/daofile/13962cbf78eb23c9d459195f236c396a32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yzcity.gov.cn:8888/attachment/cmsfile/czj/030702/201909/daofile/13962cbf78eb23c9d459195f236c396a32d21.png"/>
                    <pic:cNvPicPr>
                      <a:picLocks noChangeAspect="1" noChangeArrowheads="1"/>
                    </pic:cNvPicPr>
                  </pic:nvPicPr>
                  <pic:blipFill>
                    <a:blip r:embed="rId10" cstate="print"/>
                    <a:srcRect/>
                    <a:stretch>
                      <a:fillRect/>
                    </a:stretch>
                  </pic:blipFill>
                  <pic:spPr bwMode="auto">
                    <a:xfrm>
                      <a:off x="0" y="0"/>
                      <a:ext cx="5276850" cy="3838575"/>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jc w:val="center"/>
        <w:rPr>
          <w:rFonts w:ascii="Calibri" w:eastAsia="宋体" w:hAnsi="Calibri" w:cs="宋体"/>
          <w:color w:val="505050"/>
          <w:kern w:val="0"/>
          <w:szCs w:val="21"/>
        </w:rPr>
      </w:pPr>
      <w:r>
        <w:rPr>
          <w:rFonts w:ascii="Times New Roman" w:eastAsia="宋体" w:hAnsi="Times New Roman" w:cs="Times New Roman"/>
          <w:noProof/>
          <w:color w:val="505050"/>
          <w:kern w:val="0"/>
          <w:sz w:val="32"/>
          <w:szCs w:val="32"/>
        </w:rPr>
        <w:drawing>
          <wp:inline distT="0" distB="0" distL="0" distR="0">
            <wp:extent cx="5276850" cy="1590675"/>
            <wp:effectExtent l="19050" t="0" r="0" b="0"/>
            <wp:docPr id="6" name="图片 6" descr="http://admin.yzcity.gov.cn:8888/attachment/cmsfile/czj/030702/201909/daofile/14771eab9c98b1b7d4652adb0ebe52a2e8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min.yzcity.gov.cn:8888/attachment/cmsfile/czj/030702/201909/daofile/14771eab9c98b1b7d4652adb0ebe52a2e88da.png"/>
                    <pic:cNvPicPr>
                      <a:picLocks noChangeAspect="1" noChangeArrowheads="1"/>
                    </pic:cNvPicPr>
                  </pic:nvPicPr>
                  <pic:blipFill>
                    <a:blip r:embed="rId11" cstate="print"/>
                    <a:srcRect/>
                    <a:stretch>
                      <a:fillRect/>
                    </a:stretch>
                  </pic:blipFill>
                  <pic:spPr bwMode="auto">
                    <a:xfrm>
                      <a:off x="0" y="0"/>
                      <a:ext cx="5276850" cy="1590675"/>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jc w:val="left"/>
        <w:rPr>
          <w:rFonts w:ascii="Calibri" w:eastAsia="宋体" w:hAnsi="Calibri" w:cs="宋体"/>
          <w:color w:val="505050"/>
          <w:kern w:val="0"/>
          <w:szCs w:val="21"/>
        </w:rPr>
      </w:pPr>
      <w:r>
        <w:rPr>
          <w:rFonts w:ascii="Times New Roman" w:eastAsia="宋体" w:hAnsi="Times New Roman" w:cs="Times New Roman"/>
          <w:noProof/>
          <w:color w:val="505050"/>
          <w:kern w:val="0"/>
          <w:sz w:val="24"/>
          <w:szCs w:val="24"/>
        </w:rPr>
        <w:drawing>
          <wp:inline distT="0" distB="0" distL="0" distR="0">
            <wp:extent cx="5276850" cy="2514600"/>
            <wp:effectExtent l="19050" t="0" r="0" b="0"/>
            <wp:docPr id="7" name="图片 7" descr="http://admin.yzcity.gov.cn:8888/attachment/cmsfile/czj/030702/201909/daofile/14104e06bfd41ba9a47ae82f2f8830248a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in.yzcity.gov.cn:8888/attachment/cmsfile/czj/030702/201909/daofile/14104e06bfd41ba9a47ae82f2f8830248ae36.png"/>
                    <pic:cNvPicPr>
                      <a:picLocks noChangeAspect="1" noChangeArrowheads="1"/>
                    </pic:cNvPicPr>
                  </pic:nvPicPr>
                  <pic:blipFill>
                    <a:blip r:embed="rId12" cstate="print"/>
                    <a:srcRect/>
                    <a:stretch>
                      <a:fillRect/>
                    </a:stretch>
                  </pic:blipFill>
                  <pic:spPr bwMode="auto">
                    <a:xfrm>
                      <a:off x="0" y="0"/>
                      <a:ext cx="5276850" cy="2514600"/>
                    </a:xfrm>
                    <a:prstGeom prst="rect">
                      <a:avLst/>
                    </a:prstGeom>
                    <a:noFill/>
                    <a:ln w="9525">
                      <a:noFill/>
                      <a:miter lim="800000"/>
                      <a:headEnd/>
                      <a:tailEnd/>
                    </a:ln>
                  </pic:spPr>
                </pic:pic>
              </a:graphicData>
            </a:graphic>
          </wp:inline>
        </w:drawing>
      </w:r>
    </w:p>
    <w:p w:rsidR="00077A22" w:rsidRPr="00077A22" w:rsidRDefault="00077A22" w:rsidP="00077A22">
      <w:pPr>
        <w:widowControl/>
        <w:shd w:val="clear" w:color="auto" w:fill="FFFFFF"/>
        <w:spacing w:line="600" w:lineRule="atLeast"/>
        <w:jc w:val="center"/>
        <w:rPr>
          <w:rFonts w:ascii="Calibri" w:eastAsia="宋体" w:hAnsi="Calibri" w:cs="宋体"/>
          <w:color w:val="505050"/>
          <w:kern w:val="0"/>
          <w:szCs w:val="21"/>
        </w:rPr>
      </w:pPr>
      <w:r w:rsidRPr="00077A22">
        <w:rPr>
          <w:rFonts w:ascii="黑体" w:eastAsia="黑体" w:hAnsi="黑体" w:cs="宋体" w:hint="eastAsia"/>
          <w:color w:val="505050"/>
          <w:kern w:val="0"/>
          <w:sz w:val="32"/>
          <w:szCs w:val="32"/>
        </w:rPr>
        <w:t>第三部分</w:t>
      </w:r>
      <w:r w:rsidRPr="00077A22">
        <w:rPr>
          <w:rFonts w:ascii="Times New Roman" w:eastAsia="宋体" w:hAnsi="Times New Roman" w:cs="Times New Roman"/>
          <w:color w:val="505050"/>
          <w:kern w:val="0"/>
          <w:sz w:val="32"/>
          <w:szCs w:val="32"/>
        </w:rPr>
        <w:t xml:space="preserve"> 2018</w:t>
      </w:r>
      <w:r w:rsidRPr="00077A22">
        <w:rPr>
          <w:rFonts w:ascii="Times New Roman" w:eastAsia="宋体" w:hAnsi="Times New Roman" w:cs="Times New Roman"/>
          <w:color w:val="505050"/>
          <w:kern w:val="0"/>
          <w:sz w:val="32"/>
          <w:szCs w:val="32"/>
        </w:rPr>
        <w:t> </w:t>
      </w:r>
      <w:r w:rsidRPr="00077A22">
        <w:rPr>
          <w:rFonts w:ascii="黑体" w:eastAsia="黑体" w:hAnsi="黑体" w:cs="宋体" w:hint="eastAsia"/>
          <w:color w:val="505050"/>
          <w:kern w:val="0"/>
          <w:sz w:val="32"/>
          <w:szCs w:val="32"/>
        </w:rPr>
        <w:t>年度部门决算情况说明</w:t>
      </w:r>
    </w:p>
    <w:p w:rsidR="00077A22" w:rsidRPr="00077A22" w:rsidRDefault="00077A22" w:rsidP="00077A22">
      <w:pPr>
        <w:widowControl/>
        <w:shd w:val="clear" w:color="auto" w:fill="FFFFFF"/>
        <w:spacing w:line="600" w:lineRule="atLeast"/>
        <w:ind w:firstLine="482"/>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lastRenderedPageBreak/>
        <w:t>一、收入支出决算总体情况说明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2018年部门收入、支出预算执行676.89万元，比2017年的674.69万元增加2.2万元，增幅为0.3%。主要</w:t>
      </w:r>
      <w:r w:rsidRPr="00077A22">
        <w:rPr>
          <w:rFonts w:ascii="仿宋" w:eastAsia="仿宋" w:hAnsi="仿宋" w:cs="宋体" w:hint="eastAsia"/>
          <w:color w:val="000000"/>
          <w:kern w:val="0"/>
          <w:sz w:val="32"/>
          <w:szCs w:val="32"/>
        </w:rPr>
        <w:t>是由于增人增资引起资金有所增加。</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二、收入决算情况说明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收入决算为676.89万元。行政运行经费301.89万元，占比44.6%；科技成果转化与扩散项目经费125万元，占比18.47%；技术创新服务体系建设经费120万元，占比17.73%；科普活动经费110万元，占比16.25%；专利奖励经费20万元，占比2.95%。</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三、支出决算情况说明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2018年支出总计676.89万元，其中：基本支出301.89万元，占比44.6%，</w:t>
      </w:r>
      <w:r w:rsidRPr="00077A22">
        <w:rPr>
          <w:rFonts w:ascii="仿宋" w:eastAsia="仿宋" w:hAnsi="仿宋" w:cs="宋体" w:hint="eastAsia"/>
          <w:color w:val="000000"/>
          <w:kern w:val="0"/>
          <w:sz w:val="32"/>
          <w:szCs w:val="32"/>
        </w:rPr>
        <w:t>系保障我局机构正常运转、完成日常工作任务而发生的各项支出。包括用于在职和退休人员基本工资、津贴补贴等人员经费以及办公费、印刷费、水电费、办公设备购置等日常公用经费。</w:t>
      </w:r>
      <w:r w:rsidRPr="00077A22">
        <w:rPr>
          <w:rFonts w:ascii="仿宋" w:eastAsia="仿宋" w:hAnsi="仿宋" w:cs="宋体" w:hint="eastAsia"/>
          <w:color w:val="505050"/>
          <w:kern w:val="0"/>
          <w:sz w:val="32"/>
          <w:szCs w:val="32"/>
        </w:rPr>
        <w:t>项目支出375万元，占比55.4%，</w:t>
      </w:r>
      <w:r w:rsidRPr="00077A22">
        <w:rPr>
          <w:rFonts w:ascii="仿宋" w:eastAsia="仿宋" w:hAnsi="仿宋" w:cs="宋体" w:hint="eastAsia"/>
          <w:color w:val="000000"/>
          <w:kern w:val="0"/>
          <w:sz w:val="32"/>
          <w:szCs w:val="32"/>
        </w:rPr>
        <w:t>是我局为完成全市科技工作而发生的支出，主要用于科技成果转化与扩散服务、农村城镇科普活动，科技计划管理，知识产权宣传、培训、保护，专利申请与实施资助，专利执法，专利奖励等方面。</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四、财政拨款收入支出决算总体情况说明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lastRenderedPageBreak/>
        <w:t>本局收入、支出均为财政拨款。财政拨款收入、支出总体情况，按照基本支出和项目支出分类构成情况分析与本部门总收入、支出情况相同。</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五、一般公共预算财政拨款支出决算情况说明</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（一）财政拨款支出决算总体情况。</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2018年财政拨款支出676.89万元，比2017年的674.69万元增加2.2万元，增幅为0.3%。（财政拨款本年支出数、占本年支出的比重，与上年决算数比较及增减变动的主要原因）</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（二）财政拨款支出决算结构情况。</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2018年财政拨款支出676.89万元，其中：基本支出301.89万元，占比44.6%，项目支出375万元，占比55.4%。</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（三）财政拨款支出决算具体情况。</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2018年财政拨款支出676.89万元，比年初预算增加191.67万元，主要</w:t>
      </w:r>
      <w:r w:rsidRPr="00077A22">
        <w:rPr>
          <w:rFonts w:ascii="仿宋" w:eastAsia="仿宋" w:hAnsi="仿宋" w:cs="宋体" w:hint="eastAsia"/>
          <w:color w:val="000000"/>
          <w:kern w:val="0"/>
          <w:sz w:val="32"/>
          <w:szCs w:val="32"/>
        </w:rPr>
        <w:t>是由以下几方面原因引起：一是由于增人增资、发放综治奖金、市单项考核奖、退休人员生活补等，增加支出19.67万元；二是增加科普专项经费100万元，科普专项经费纳入了财政预算，未纳入本单位部门预算；三是代付政府性奖励专利奖励经费20万元、专利奖励纳入了财政预算，未纳入本单位部门预算；四是上级业务主管部门拨入经费52万元。</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六、一般公共预算财政拨款基本支出决算情况说明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lastRenderedPageBreak/>
        <w:t>2018年一般公共预算财政拨款基本支出301.89万元，其中工资福利支出239.33万元，商品和服务支出53.96万元。占2018年财政拨款支出的44.6%，</w:t>
      </w:r>
      <w:r w:rsidRPr="00077A22">
        <w:rPr>
          <w:rFonts w:ascii="仿宋" w:eastAsia="仿宋" w:hAnsi="仿宋" w:cs="宋体" w:hint="eastAsia"/>
          <w:color w:val="000000"/>
          <w:kern w:val="0"/>
          <w:sz w:val="32"/>
          <w:szCs w:val="32"/>
        </w:rPr>
        <w:t>系保障我局机构正常运转、完成日常工作任务而发生的各项支出。其中包括用于在职和退休人员基本工资、津贴补贴等人员经费以及办公费、印刷费、水电费、办公设备购置等日常公用经费。</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七、一般公共预算财政拨款“三公”经费支出决算情况说明</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（一）“三公”经费财政拨款支出决算总体情况说明。</w:t>
      </w:r>
    </w:p>
    <w:p w:rsidR="00077A22" w:rsidRPr="00077A22" w:rsidRDefault="00077A22" w:rsidP="00077A22">
      <w:pPr>
        <w:widowControl/>
        <w:shd w:val="clear" w:color="auto" w:fill="FFFFFF"/>
        <w:spacing w:line="600" w:lineRule="atLeast"/>
        <w:ind w:firstLine="800"/>
        <w:rPr>
          <w:rFonts w:ascii="Calibri" w:eastAsia="宋体" w:hAnsi="Calibri" w:cs="宋体"/>
          <w:color w:val="505050"/>
          <w:kern w:val="0"/>
          <w:szCs w:val="21"/>
        </w:rPr>
      </w:pPr>
      <w:r w:rsidRPr="00077A22">
        <w:rPr>
          <w:rFonts w:ascii="仿宋" w:eastAsia="仿宋" w:hAnsi="仿宋" w:cs="宋体" w:hint="eastAsia"/>
          <w:color w:val="000000"/>
          <w:kern w:val="0"/>
          <w:sz w:val="32"/>
          <w:szCs w:val="32"/>
        </w:rPr>
        <w:t>2018“三公”经费支出合计21.94万元，比部门预算数32万元减少10.06万元。与2017年实际支出数16.49万元相比，增加5.45万元，增幅为33.08%。2017年无因公出国境经费，2018年本局共有3人分别参加省科技厅组织的3个出国境培训团，开支经费8.45万元，公务接待经费比2017年减少3万元。</w:t>
      </w:r>
    </w:p>
    <w:p w:rsidR="00077A22" w:rsidRPr="00077A22" w:rsidRDefault="00077A22" w:rsidP="00077A22">
      <w:pPr>
        <w:widowControl/>
        <w:shd w:val="clear" w:color="auto" w:fill="FFFFFF"/>
        <w:spacing w:line="600" w:lineRule="atLeast"/>
        <w:ind w:firstLine="482"/>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（二）“三公”经费财政拨款支出决算具体情况说明。</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000000"/>
          <w:kern w:val="0"/>
          <w:sz w:val="32"/>
          <w:szCs w:val="32"/>
        </w:rPr>
        <w:t>2018年“三公”经费支出具体情况如下：因公出国境经费开支8.45万元，为比预算15万元减少6.55万元；公车保有量1台，运行维护费7.49万元（无公车购置费），与2017年基本持平，比预算数8万元减少0.51万元，主要原因是全年没有购置、更换公务用车，公车运行管理方面继续坚持严格原来的管理制度；公务接待126批，共1021人次，</w:t>
      </w:r>
      <w:r w:rsidRPr="00077A22">
        <w:rPr>
          <w:rFonts w:ascii="仿宋" w:eastAsia="仿宋" w:hAnsi="仿宋" w:cs="宋体" w:hint="eastAsia"/>
          <w:color w:val="000000"/>
          <w:kern w:val="0"/>
          <w:sz w:val="32"/>
          <w:szCs w:val="32"/>
        </w:rPr>
        <w:lastRenderedPageBreak/>
        <w:t>公务接待费用6万元，比预算数9万元、2017年实际支出数9万元均减少3万元，减幅为33%，主要原因是开展了公务接待专项治理，公务接待数量减少，严控接待标准。</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八、政府性基金预算收入支出决算情况</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本单位本年度无政府性基金预算财政拨款收入。</w:t>
      </w:r>
    </w:p>
    <w:p w:rsidR="00077A22" w:rsidRPr="00077A22" w:rsidRDefault="00077A22" w:rsidP="00077A22">
      <w:pPr>
        <w:widowControl/>
        <w:shd w:val="clear" w:color="auto" w:fill="FFFFFF"/>
        <w:spacing w:line="600" w:lineRule="atLeast"/>
        <w:ind w:firstLine="643"/>
        <w:jc w:val="left"/>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九、关于2018年度预算绩效情况说明</w:t>
      </w:r>
    </w:p>
    <w:p w:rsidR="00077A22" w:rsidRPr="00077A22" w:rsidRDefault="00077A22" w:rsidP="00077A22">
      <w:pPr>
        <w:widowControl/>
        <w:shd w:val="clear" w:color="auto" w:fill="FFFFFF"/>
        <w:spacing w:line="600" w:lineRule="atLeast"/>
        <w:ind w:firstLine="640"/>
        <w:jc w:val="lef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1．通过科技计划项目的实施，提升永州的科技创新能力，全市新认定高新技术企业78家，完成绩效目标任务15家的5.2倍。</w:t>
      </w:r>
    </w:p>
    <w:p w:rsidR="00077A22" w:rsidRPr="00077A22" w:rsidRDefault="00077A22" w:rsidP="00077A22">
      <w:pPr>
        <w:widowControl/>
        <w:shd w:val="clear" w:color="auto" w:fill="FFFFFF"/>
        <w:spacing w:line="600" w:lineRule="atLeast"/>
        <w:ind w:firstLine="640"/>
        <w:jc w:val="left"/>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2．争取国家、省科技及知识产权项目64项以上，完成绩效目标任务30项的2.13倍；组织实施市本级科技及知识产权项目50项，完成绩效目标任务40项的125%。</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3.全市专利申请3300件，同比增长46.63%，完成绩效目标1600件的2.06倍；专利授权1615件，完成绩效目标800件的2.02倍；发明专利申请量1550件占全市申请总量的46.97%，比绩效目标20%高出26.97个百分点。</w:t>
      </w:r>
    </w:p>
    <w:p w:rsidR="00077A22" w:rsidRPr="00077A22" w:rsidRDefault="00077A22" w:rsidP="00077A22">
      <w:pPr>
        <w:widowControl/>
        <w:shd w:val="clear" w:color="auto" w:fill="FFFFFF"/>
        <w:spacing w:line="600" w:lineRule="atLeast"/>
        <w:ind w:firstLine="640"/>
        <w:rPr>
          <w:rFonts w:ascii="Calibri" w:eastAsia="宋体" w:hAnsi="Calibri" w:cs="宋体"/>
          <w:color w:val="505050"/>
          <w:kern w:val="0"/>
          <w:szCs w:val="21"/>
        </w:rPr>
      </w:pPr>
      <w:r w:rsidRPr="00077A22">
        <w:rPr>
          <w:rFonts w:ascii="仿宋" w:eastAsia="仿宋" w:hAnsi="仿宋" w:cs="宋体" w:hint="eastAsia"/>
          <w:color w:val="505050"/>
          <w:kern w:val="0"/>
          <w:sz w:val="32"/>
          <w:szCs w:val="32"/>
        </w:rPr>
        <w:t>4.举办大型科普活动1次以上，惠及群众21万人以上，完成绩效目标任务的100%。</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楷体" w:eastAsia="楷体" w:hAnsi="楷体" w:cs="宋体" w:hint="eastAsia"/>
          <w:b/>
          <w:bCs/>
          <w:color w:val="505050"/>
          <w:kern w:val="0"/>
          <w:sz w:val="32"/>
          <w:szCs w:val="32"/>
        </w:rPr>
        <w:t>十、其他重要事项</w:t>
      </w:r>
    </w:p>
    <w:p w:rsidR="00077A22" w:rsidRPr="00077A22" w:rsidRDefault="00077A22" w:rsidP="00077A22">
      <w:pPr>
        <w:widowControl/>
        <w:shd w:val="clear" w:color="auto" w:fill="FFFFFF"/>
        <w:spacing w:line="600" w:lineRule="atLeast"/>
        <w:ind w:firstLine="643"/>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（一）机关运行经费支出情况。</w:t>
      </w:r>
      <w:r w:rsidRPr="00077A22">
        <w:rPr>
          <w:rFonts w:ascii="仿宋" w:eastAsia="仿宋" w:hAnsi="仿宋" w:cs="宋体" w:hint="eastAsia"/>
          <w:color w:val="505050"/>
          <w:kern w:val="0"/>
          <w:sz w:val="32"/>
          <w:szCs w:val="32"/>
        </w:rPr>
        <w:t>2018年度机关运行经费支出53.96万元，比2017年的40.44万元增加13.52万元，</w:t>
      </w:r>
      <w:r w:rsidRPr="00077A22">
        <w:rPr>
          <w:rFonts w:ascii="仿宋" w:eastAsia="仿宋" w:hAnsi="仿宋" w:cs="宋体" w:hint="eastAsia"/>
          <w:color w:val="505050"/>
          <w:kern w:val="0"/>
          <w:sz w:val="32"/>
          <w:szCs w:val="32"/>
        </w:rPr>
        <w:lastRenderedPageBreak/>
        <w:t>增加33.43%。主要是建设党建文化走廊、改善档案室、会议室等办公条件等引起经费增加。</w:t>
      </w:r>
    </w:p>
    <w:p w:rsidR="00077A22" w:rsidRPr="00077A22" w:rsidRDefault="00077A22" w:rsidP="00077A22">
      <w:pPr>
        <w:widowControl/>
        <w:shd w:val="clear" w:color="auto" w:fill="FFFFFF"/>
        <w:ind w:firstLine="643"/>
        <w:jc w:val="left"/>
        <w:rPr>
          <w:rFonts w:ascii="Calibri" w:eastAsia="宋体" w:hAnsi="Calibri" w:cs="宋体"/>
          <w:color w:val="505050"/>
          <w:kern w:val="0"/>
          <w:szCs w:val="21"/>
        </w:rPr>
      </w:pPr>
      <w:r w:rsidRPr="00077A22">
        <w:rPr>
          <w:rFonts w:ascii="仿宋" w:eastAsia="仿宋" w:hAnsi="仿宋" w:cs="宋体" w:hint="eastAsia"/>
          <w:b/>
          <w:bCs/>
          <w:color w:val="505050"/>
          <w:kern w:val="0"/>
          <w:sz w:val="32"/>
          <w:szCs w:val="32"/>
        </w:rPr>
        <w:t>（二）政府采购支出情况。</w:t>
      </w:r>
      <w:r w:rsidRPr="00077A22">
        <w:rPr>
          <w:rFonts w:ascii="仿宋" w:eastAsia="仿宋" w:hAnsi="仿宋" w:cs="宋体" w:hint="eastAsia"/>
          <w:color w:val="505050"/>
          <w:kern w:val="0"/>
          <w:sz w:val="32"/>
          <w:szCs w:val="32"/>
        </w:rPr>
        <w:t>本部门2018年度政府采购支出总额13.3万元，其中：政府采购货物支出10.1 万元、政府采购服务支出3.2万元。</w:t>
      </w:r>
    </w:p>
    <w:p w:rsidR="00077A22" w:rsidRPr="00077A22" w:rsidRDefault="00077A22" w:rsidP="00092E3E">
      <w:pPr>
        <w:widowControl/>
        <w:shd w:val="clear" w:color="auto" w:fill="FFFFFF"/>
        <w:ind w:firstLineChars="200" w:firstLine="643"/>
        <w:rPr>
          <w:rFonts w:ascii="宋体" w:eastAsia="宋体" w:hAnsi="宋体" w:cs="宋体"/>
          <w:color w:val="505050"/>
          <w:kern w:val="0"/>
          <w:szCs w:val="21"/>
        </w:rPr>
      </w:pPr>
      <w:r w:rsidRPr="00077A22">
        <w:rPr>
          <w:rFonts w:ascii="仿宋" w:eastAsia="仿宋" w:hAnsi="仿宋" w:cs="宋体" w:hint="eastAsia"/>
          <w:b/>
          <w:bCs/>
          <w:color w:val="505050"/>
          <w:kern w:val="0"/>
          <w:sz w:val="32"/>
          <w:szCs w:val="32"/>
        </w:rPr>
        <w:t>（三）国有资产占用情况。</w:t>
      </w:r>
    </w:p>
    <w:p w:rsidR="00077A22" w:rsidRPr="00077A22" w:rsidRDefault="00077A22" w:rsidP="00092E3E">
      <w:pPr>
        <w:widowControl/>
        <w:shd w:val="clear" w:color="auto" w:fill="FFFFFF"/>
        <w:ind w:firstLineChars="200" w:firstLine="600"/>
        <w:rPr>
          <w:rFonts w:ascii="仿宋" w:eastAsia="仿宋" w:hAnsi="仿宋" w:cs="宋体"/>
          <w:color w:val="505050"/>
          <w:kern w:val="0"/>
          <w:szCs w:val="21"/>
        </w:rPr>
      </w:pPr>
      <w:r w:rsidRPr="00077A22">
        <w:rPr>
          <w:rFonts w:ascii="仿宋" w:eastAsia="仿宋" w:hAnsi="仿宋" w:cs="宋体" w:hint="eastAsia"/>
          <w:color w:val="505050"/>
          <w:kern w:val="0"/>
          <w:sz w:val="30"/>
          <w:szCs w:val="30"/>
        </w:rPr>
        <w:t>截至2018年12月31日，本单位国有资产总额204.8万元，其中：流动资产140.55万元，固定资产64.25万元，公务用车1 辆，价格17.98万元，其他固定资产46.27万元。</w:t>
      </w:r>
    </w:p>
    <w:p w:rsidR="00077A22" w:rsidRPr="00077A22" w:rsidRDefault="00077A22" w:rsidP="00077A22">
      <w:pPr>
        <w:widowControl/>
        <w:shd w:val="clear" w:color="auto" w:fill="FFFFFF"/>
        <w:spacing w:line="560" w:lineRule="atLeast"/>
        <w:ind w:firstLine="640"/>
        <w:jc w:val="left"/>
        <w:rPr>
          <w:rFonts w:ascii="微软雅黑" w:eastAsia="微软雅黑" w:hAnsi="微软雅黑" w:cs="宋体"/>
          <w:color w:val="000000"/>
          <w:kern w:val="0"/>
          <w:szCs w:val="21"/>
        </w:rPr>
      </w:pPr>
      <w:r w:rsidRPr="00077A22">
        <w:rPr>
          <w:rFonts w:ascii="楷体" w:eastAsia="楷体" w:hAnsi="楷体" w:cs="宋体" w:hint="eastAsia"/>
          <w:b/>
          <w:bCs/>
          <w:color w:val="000000"/>
          <w:kern w:val="0"/>
          <w:sz w:val="32"/>
        </w:rPr>
        <w:t>十一、名词解释</w:t>
      </w:r>
    </w:p>
    <w:p w:rsidR="00077A22" w:rsidRPr="00077A22" w:rsidRDefault="00077A22" w:rsidP="00077A22">
      <w:pPr>
        <w:widowControl/>
        <w:shd w:val="clear" w:color="auto" w:fill="FFFFFF"/>
        <w:spacing w:line="560" w:lineRule="atLeast"/>
        <w:ind w:firstLine="640"/>
        <w:jc w:val="left"/>
        <w:rPr>
          <w:rFonts w:ascii="宋体" w:eastAsia="宋体" w:hAnsi="宋体" w:cs="宋体"/>
          <w:color w:val="000000"/>
          <w:kern w:val="0"/>
          <w:szCs w:val="21"/>
        </w:rPr>
      </w:pPr>
      <w:r w:rsidRPr="00077A22">
        <w:rPr>
          <w:rFonts w:ascii="仿宋" w:eastAsia="仿宋" w:hAnsi="仿宋" w:cs="宋体" w:hint="eastAsia"/>
          <w:color w:val="000000"/>
          <w:kern w:val="0"/>
          <w:sz w:val="32"/>
          <w:szCs w:val="32"/>
        </w:rPr>
        <w:t xml:space="preserve">（一）财政拨款收入指财政当年拨付的资金。 </w:t>
      </w:r>
    </w:p>
    <w:p w:rsidR="00077A22" w:rsidRPr="00077A22" w:rsidRDefault="00077A22" w:rsidP="00077A22">
      <w:pPr>
        <w:widowControl/>
        <w:shd w:val="clear" w:color="auto" w:fill="FFFFFF"/>
        <w:spacing w:line="560" w:lineRule="atLeast"/>
        <w:ind w:firstLine="640"/>
        <w:jc w:val="left"/>
        <w:rPr>
          <w:rFonts w:ascii="宋体" w:eastAsia="宋体" w:hAnsi="宋体" w:cs="宋体"/>
          <w:color w:val="000000"/>
          <w:kern w:val="0"/>
          <w:szCs w:val="21"/>
        </w:rPr>
      </w:pPr>
      <w:r w:rsidRPr="00077A22">
        <w:rPr>
          <w:rFonts w:ascii="仿宋" w:eastAsia="仿宋" w:hAnsi="仿宋" w:cs="宋体"/>
          <w:color w:val="000000"/>
          <w:kern w:val="0"/>
          <w:sz w:val="32"/>
          <w:szCs w:val="32"/>
        </w:rPr>
        <w:t>（二）基本支出指为保障机构正常运转、完成日常工作任务而发生的人员支出和公用支出。</w:t>
      </w:r>
    </w:p>
    <w:p w:rsidR="00077A22" w:rsidRPr="00077A22" w:rsidRDefault="00077A22" w:rsidP="00077A22">
      <w:pPr>
        <w:widowControl/>
        <w:shd w:val="clear" w:color="auto" w:fill="FFFFFF"/>
        <w:spacing w:line="560" w:lineRule="atLeast"/>
        <w:ind w:firstLine="640"/>
        <w:jc w:val="left"/>
        <w:rPr>
          <w:rFonts w:ascii="宋体" w:eastAsia="宋体" w:hAnsi="宋体" w:cs="宋体"/>
          <w:color w:val="000000"/>
          <w:kern w:val="0"/>
          <w:szCs w:val="21"/>
        </w:rPr>
      </w:pPr>
      <w:r w:rsidRPr="00077A22">
        <w:rPr>
          <w:rFonts w:ascii="仿宋" w:eastAsia="仿宋" w:hAnsi="仿宋" w:cs="宋体"/>
          <w:color w:val="000000"/>
          <w:kern w:val="0"/>
          <w:sz w:val="32"/>
          <w:szCs w:val="32"/>
        </w:rPr>
        <w:t>（三）项目支出指在基本支出之外为完成特定行政任务和事业发展目标所发生的支出。</w:t>
      </w:r>
    </w:p>
    <w:p w:rsidR="00077A22" w:rsidRPr="00077A22" w:rsidRDefault="00077A22" w:rsidP="00077A22">
      <w:pPr>
        <w:widowControl/>
        <w:shd w:val="clear" w:color="auto" w:fill="FFFFFF"/>
        <w:spacing w:line="560" w:lineRule="atLeast"/>
        <w:ind w:firstLine="640"/>
        <w:jc w:val="left"/>
        <w:rPr>
          <w:rFonts w:ascii="宋体" w:eastAsia="宋体" w:hAnsi="宋体" w:cs="宋体"/>
          <w:color w:val="000000"/>
          <w:kern w:val="0"/>
          <w:szCs w:val="21"/>
        </w:rPr>
      </w:pPr>
      <w:r w:rsidRPr="00077A22">
        <w:rPr>
          <w:rFonts w:ascii="仿宋" w:eastAsia="仿宋" w:hAnsi="仿宋" w:cs="宋体"/>
          <w:color w:val="000000"/>
          <w:kern w:val="0"/>
          <w:sz w:val="32"/>
          <w:szCs w:val="32"/>
        </w:rPr>
        <w:t>（四）“三公”经费：纳入财政预决算管理的“三公”经费，是指用财政拨款安排的因公出国(境)费、公务用车购置及运行费和公务接待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077A22" w:rsidRPr="00077A22" w:rsidRDefault="00077A22" w:rsidP="00077A22">
      <w:pPr>
        <w:widowControl/>
        <w:shd w:val="clear" w:color="auto" w:fill="FFFFFF"/>
        <w:spacing w:line="560" w:lineRule="atLeast"/>
        <w:ind w:firstLine="640"/>
        <w:jc w:val="left"/>
        <w:rPr>
          <w:rFonts w:ascii="宋体" w:eastAsia="宋体" w:hAnsi="宋体" w:cs="宋体"/>
          <w:color w:val="000000"/>
          <w:kern w:val="0"/>
          <w:szCs w:val="21"/>
        </w:rPr>
      </w:pPr>
      <w:r w:rsidRPr="00077A22">
        <w:rPr>
          <w:rFonts w:ascii="仿宋" w:eastAsia="仿宋" w:hAnsi="仿宋" w:cs="宋体"/>
          <w:color w:val="000000"/>
          <w:kern w:val="0"/>
          <w:sz w:val="32"/>
          <w:szCs w:val="32"/>
        </w:rPr>
        <w:lastRenderedPageBreak/>
        <w:t>（五）机关运行经费为保障行政单位(含参照公务员法管理的事业单位)运行用于购买货物和服务的各项资金，包括办公及印刷费、邮电费、旅费、会议费、福利费、日常维修费、专用材料及一般设备购置费、办公用房水电费、办公用房取暖费、办公用房物业管理费、公务用车运行维护费以及其他费用。</w:t>
      </w:r>
    </w:p>
    <w:p w:rsidR="009F41BA" w:rsidRPr="00077A22" w:rsidRDefault="009F41BA">
      <w:pPr>
        <w:rPr>
          <w:rFonts w:ascii="仿宋" w:eastAsia="仿宋" w:hAnsi="仿宋"/>
          <w:sz w:val="32"/>
          <w:szCs w:val="32"/>
        </w:rPr>
      </w:pPr>
    </w:p>
    <w:sectPr w:rsidR="009F41BA" w:rsidRPr="00077A22" w:rsidSect="009F41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7A" w:rsidRDefault="003E637A" w:rsidP="00092E3E">
      <w:r>
        <w:separator/>
      </w:r>
    </w:p>
  </w:endnote>
  <w:endnote w:type="continuationSeparator" w:id="0">
    <w:p w:rsidR="003E637A" w:rsidRDefault="003E637A" w:rsidP="00092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7A" w:rsidRDefault="003E637A" w:rsidP="00092E3E">
      <w:r>
        <w:separator/>
      </w:r>
    </w:p>
  </w:footnote>
  <w:footnote w:type="continuationSeparator" w:id="0">
    <w:p w:rsidR="003E637A" w:rsidRDefault="003E637A" w:rsidP="00092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A22"/>
    <w:rsid w:val="000158A4"/>
    <w:rsid w:val="00077A22"/>
    <w:rsid w:val="00092E3E"/>
    <w:rsid w:val="003E637A"/>
    <w:rsid w:val="009F4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7A22"/>
    <w:rPr>
      <w:b/>
      <w:bCs/>
    </w:rPr>
  </w:style>
  <w:style w:type="paragraph" w:styleId="a4">
    <w:name w:val="Balloon Text"/>
    <w:basedOn w:val="a"/>
    <w:link w:val="Char"/>
    <w:uiPriority w:val="99"/>
    <w:semiHidden/>
    <w:unhideWhenUsed/>
    <w:rsid w:val="00077A22"/>
    <w:rPr>
      <w:sz w:val="18"/>
      <w:szCs w:val="18"/>
    </w:rPr>
  </w:style>
  <w:style w:type="character" w:customStyle="1" w:styleId="Char">
    <w:name w:val="批注框文本 Char"/>
    <w:basedOn w:val="a0"/>
    <w:link w:val="a4"/>
    <w:uiPriority w:val="99"/>
    <w:semiHidden/>
    <w:rsid w:val="00077A22"/>
    <w:rPr>
      <w:sz w:val="18"/>
      <w:szCs w:val="18"/>
    </w:rPr>
  </w:style>
  <w:style w:type="paragraph" w:styleId="a5">
    <w:name w:val="header"/>
    <w:basedOn w:val="a"/>
    <w:link w:val="Char0"/>
    <w:uiPriority w:val="99"/>
    <w:semiHidden/>
    <w:unhideWhenUsed/>
    <w:rsid w:val="00092E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2E3E"/>
    <w:rPr>
      <w:sz w:val="18"/>
      <w:szCs w:val="18"/>
    </w:rPr>
  </w:style>
  <w:style w:type="paragraph" w:styleId="a6">
    <w:name w:val="footer"/>
    <w:basedOn w:val="a"/>
    <w:link w:val="Char1"/>
    <w:uiPriority w:val="99"/>
    <w:semiHidden/>
    <w:unhideWhenUsed/>
    <w:rsid w:val="00092E3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92E3E"/>
    <w:rPr>
      <w:sz w:val="18"/>
      <w:szCs w:val="18"/>
    </w:rPr>
  </w:style>
</w:styles>
</file>

<file path=word/webSettings.xml><?xml version="1.0" encoding="utf-8"?>
<w:webSettings xmlns:r="http://schemas.openxmlformats.org/officeDocument/2006/relationships" xmlns:w="http://schemas.openxmlformats.org/wordprocessingml/2006/main">
  <w:divs>
    <w:div w:id="593788390">
      <w:bodyDiv w:val="1"/>
      <w:marLeft w:val="0"/>
      <w:marRight w:val="0"/>
      <w:marTop w:val="0"/>
      <w:marBottom w:val="0"/>
      <w:divBdr>
        <w:top w:val="none" w:sz="0" w:space="0" w:color="auto"/>
        <w:left w:val="none" w:sz="0" w:space="0" w:color="auto"/>
        <w:bottom w:val="none" w:sz="0" w:space="0" w:color="auto"/>
        <w:right w:val="none" w:sz="0" w:space="0" w:color="auto"/>
      </w:divBdr>
      <w:divsChild>
        <w:div w:id="81878941">
          <w:marLeft w:val="0"/>
          <w:marRight w:val="0"/>
          <w:marTop w:val="0"/>
          <w:marBottom w:val="0"/>
          <w:divBdr>
            <w:top w:val="none" w:sz="0" w:space="0" w:color="auto"/>
            <w:left w:val="none" w:sz="0" w:space="0" w:color="auto"/>
            <w:bottom w:val="none" w:sz="0" w:space="0" w:color="auto"/>
            <w:right w:val="none" w:sz="0" w:space="0" w:color="auto"/>
          </w:divBdr>
          <w:divsChild>
            <w:div w:id="273290822">
              <w:marLeft w:val="0"/>
              <w:marRight w:val="0"/>
              <w:marTop w:val="0"/>
              <w:marBottom w:val="0"/>
              <w:divBdr>
                <w:top w:val="single" w:sz="6" w:space="0" w:color="B2B4BC"/>
                <w:left w:val="single" w:sz="6" w:space="0" w:color="B2B4BC"/>
                <w:bottom w:val="single" w:sz="2" w:space="0" w:color="B2B4BC"/>
                <w:right w:val="single" w:sz="6" w:space="0" w:color="B2B4BC"/>
              </w:divBdr>
              <w:divsChild>
                <w:div w:id="221794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594</Words>
  <Characters>3386</Characters>
  <Application>Microsoft Office Word</Application>
  <DocSecurity>0</DocSecurity>
  <Lines>28</Lines>
  <Paragraphs>7</Paragraphs>
  <ScaleCrop>false</ScaleCrop>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2019-12-09T00:54:00Z</dcterms:created>
  <dcterms:modified xsi:type="dcterms:W3CDTF">2019-12-09T03:16:00Z</dcterms:modified>
</cp:coreProperties>
</file>